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C283E" w14:paraId="4041105B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5D2E646" w14:textId="77777777" w:rsidR="00FC283E" w:rsidRDefault="00B340A8">
            <w:pPr>
              <w:spacing w:after="0" w:line="240" w:lineRule="auto"/>
            </w:pPr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36D90FD4" w14:textId="77777777" w:rsidR="00FC283E" w:rsidRDefault="00B340A8">
            <w:pPr>
              <w:spacing w:after="0" w:line="240" w:lineRule="auto"/>
            </w:pPr>
            <w:r>
              <w:t>13158</w:t>
            </w:r>
          </w:p>
        </w:tc>
      </w:tr>
      <w:tr w:rsidR="00FC283E" w14:paraId="26F068D3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B1D52D2" w14:textId="77777777" w:rsidR="00FC283E" w:rsidRDefault="00B340A8">
            <w:pPr>
              <w:spacing w:after="0" w:line="240" w:lineRule="auto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4EFEFB02" w14:textId="77777777" w:rsidR="00FC283E" w:rsidRDefault="00B340A8">
            <w:pPr>
              <w:spacing w:after="0" w:line="240" w:lineRule="auto"/>
            </w:pPr>
            <w:r>
              <w:t>OSNOVNA ŠKOLA KNEZA TRPIMIRA</w:t>
            </w:r>
          </w:p>
        </w:tc>
      </w:tr>
      <w:tr w:rsidR="00FC283E" w14:paraId="7DD7B3B1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FF22C1C" w14:textId="77777777" w:rsidR="00FC283E" w:rsidRDefault="00B340A8">
            <w:pPr>
              <w:spacing w:after="0" w:line="240" w:lineRule="auto"/>
            </w:pPr>
            <w:proofErr w:type="spellStart"/>
            <w:r>
              <w:rPr>
                <w:b/>
              </w:rPr>
              <w:t>Razina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3893169F" w14:textId="77777777" w:rsidR="00FC283E" w:rsidRDefault="00B340A8">
            <w:pPr>
              <w:spacing w:after="0" w:line="240" w:lineRule="auto"/>
            </w:pPr>
            <w:r>
              <w:t>31</w:t>
            </w:r>
          </w:p>
        </w:tc>
      </w:tr>
    </w:tbl>
    <w:p w14:paraId="571576A6" w14:textId="77777777" w:rsidR="00FC283E" w:rsidRDefault="00B340A8">
      <w:r>
        <w:br/>
      </w:r>
    </w:p>
    <w:p w14:paraId="6D75A720" w14:textId="77777777" w:rsidR="00FC283E" w:rsidRDefault="00B340A8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5997B3F" w14:textId="77777777" w:rsidR="00FC283E" w:rsidRDefault="00B340A8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C1A0D34" w14:textId="77777777" w:rsidR="00FC283E" w:rsidRDefault="00B340A8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E79849F" w14:textId="77777777" w:rsidR="00FC283E" w:rsidRDefault="00FC283E"/>
    <w:p w14:paraId="66E17DA2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izdacima</w:t>
      </w:r>
      <w:proofErr w:type="spellEnd"/>
    </w:p>
    <w:p w14:paraId="739DA0B1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69AB893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2A954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D525B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3D422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20AAD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6C28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A2DAAB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5A507D8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BB0A0B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7D41C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50696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E8313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1.424.820,65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B3F50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1.615.616,07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CBBE1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113,4</w:t>
            </w:r>
          </w:p>
        </w:tc>
      </w:tr>
      <w:tr w:rsidR="00FC283E" w14:paraId="12B893A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EBA4B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1BCF8F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6862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865565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1.356.948,08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86F6D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1.810.255,25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B9107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133,4</w:t>
            </w:r>
          </w:p>
        </w:tc>
      </w:tr>
      <w:tr w:rsidR="00FC283E" w14:paraId="450E8BA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04FDA1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82D76A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8ED3C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5E493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2B7C0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194.639,18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40EE9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C283E" w14:paraId="754328D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1022E4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175886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BE26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19351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16FC64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D48E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C283E" w14:paraId="0CC2479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83FA7C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2D2A1B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B53D7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035758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3A9A65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11.514,31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41DCD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633,9</w:t>
            </w:r>
          </w:p>
        </w:tc>
      </w:tr>
      <w:tr w:rsidR="00FC283E" w14:paraId="13F8635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419F76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8F3468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DA38A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BBFAFD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1.816,46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98AF3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11.514,31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70C8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633,9</w:t>
            </w:r>
          </w:p>
        </w:tc>
      </w:tr>
      <w:tr w:rsidR="00FC283E" w14:paraId="2F3E4B0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7175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16E9DA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161F17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B3BFD2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D2CEE7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58583F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C283E" w14:paraId="236F072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D1BCE4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482CC7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EA9FB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FF0082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C355D1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BFFD8F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C283E" w14:paraId="51B2CA4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714EF5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EF0245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36CEE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AB8852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9991E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7FE64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C283E" w14:paraId="28FD4C3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5CE98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D372CA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7737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4686E2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B16B5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206.153,49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6F96E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18620FE9" w14:textId="77777777" w:rsidR="00FC283E" w:rsidRDefault="00FC283E">
      <w:pPr>
        <w:spacing w:after="0"/>
      </w:pPr>
    </w:p>
    <w:p w14:paraId="05091206" w14:textId="77777777" w:rsidR="00FC283E" w:rsidRDefault="00FC283E">
      <w:pPr>
        <w:spacing w:line="240" w:lineRule="auto"/>
        <w:jc w:val="both"/>
      </w:pPr>
    </w:p>
    <w:p w14:paraId="48052262" w14:textId="77777777" w:rsidR="00FC283E" w:rsidRDefault="00B340A8">
      <w:r>
        <w:br/>
      </w:r>
    </w:p>
    <w:p w14:paraId="0804D7E8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2E98AE8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DB8BA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8DA6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0B59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B2E620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3410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52767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08BE000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BE9A0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EE79A3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Tekuće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proračunskim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korisnicima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koji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nadležan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BD4C3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229AE7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1.304.910,18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D421F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1.409.442,54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FE6D9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108,0</w:t>
            </w:r>
          </w:p>
        </w:tc>
      </w:tr>
    </w:tbl>
    <w:p w14:paraId="7C14211F" w14:textId="77777777" w:rsidR="00FC283E" w:rsidRDefault="00FC283E">
      <w:pPr>
        <w:spacing w:after="0"/>
      </w:pPr>
    </w:p>
    <w:p w14:paraId="2B47A9E2" w14:textId="68CE2DB5" w:rsidR="00FC283E" w:rsidRDefault="00B340A8">
      <w:pPr>
        <w:spacing w:line="240" w:lineRule="auto"/>
        <w:jc w:val="both"/>
      </w:pPr>
      <w:r>
        <w:t>-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r w:rsidR="00653F98">
        <w:t>MZOM</w:t>
      </w:r>
      <w:r>
        <w:t xml:space="preserve"> za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1.222.344,09 </w:t>
      </w:r>
      <w:proofErr w:type="spellStart"/>
      <w:r>
        <w:t>eura</w:t>
      </w:r>
      <w:proofErr w:type="spellEnd"/>
      <w:r>
        <w:t xml:space="preserve">; </w:t>
      </w:r>
      <w:proofErr w:type="spellStart"/>
      <w:r>
        <w:t>Iznos</w:t>
      </w:r>
      <w:proofErr w:type="spellEnd"/>
      <w:r>
        <w:t xml:space="preserve"> od 13.341,23 </w:t>
      </w:r>
      <w:proofErr w:type="spellStart"/>
      <w:proofErr w:type="gramStart"/>
      <w:r>
        <w:t>eura</w:t>
      </w:r>
      <w:proofErr w:type="spellEnd"/>
      <w:r>
        <w:t xml:space="preserve"> 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isplate</w:t>
      </w:r>
      <w:proofErr w:type="spellEnd"/>
      <w:r>
        <w:t xml:space="preserve"> po </w:t>
      </w:r>
      <w:proofErr w:type="spellStart"/>
      <w:r>
        <w:t>pravomoćnim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 </w:t>
      </w:r>
      <w:proofErr w:type="spellStart"/>
      <w:r>
        <w:t>presudama</w:t>
      </w:r>
      <w:proofErr w:type="spellEnd"/>
      <w:r>
        <w:t xml:space="preserve"> za </w:t>
      </w:r>
      <w:proofErr w:type="spellStart"/>
      <w:r>
        <w:t>preostalih</w:t>
      </w:r>
      <w:proofErr w:type="spellEnd"/>
      <w:r>
        <w:t xml:space="preserve"> 11 </w:t>
      </w:r>
      <w:proofErr w:type="spellStart"/>
      <w:r>
        <w:t>djelatnika</w:t>
      </w:r>
      <w:proofErr w:type="spellEnd"/>
      <w:r>
        <w:t xml:space="preserve">; </w:t>
      </w:r>
      <w:r w:rsidR="00653F98">
        <w:t>MZOM</w:t>
      </w:r>
      <w:r>
        <w:t xml:space="preserve"> </w:t>
      </w:r>
      <w:proofErr w:type="spellStart"/>
      <w:r>
        <w:t>uplata</w:t>
      </w:r>
      <w:proofErr w:type="spellEnd"/>
      <w:r>
        <w:t xml:space="preserve"> za  </w:t>
      </w:r>
      <w:proofErr w:type="spellStart"/>
      <w:r>
        <w:t>psihodijagnostiku-testovi</w:t>
      </w:r>
      <w:proofErr w:type="spellEnd"/>
      <w:r>
        <w:t xml:space="preserve"> (2.dio) u </w:t>
      </w:r>
      <w:proofErr w:type="spellStart"/>
      <w:r>
        <w:t>iznosu</w:t>
      </w:r>
      <w:proofErr w:type="spellEnd"/>
      <w:r>
        <w:t xml:space="preserve"> od 789,11 </w:t>
      </w:r>
      <w:proofErr w:type="spellStart"/>
      <w:r>
        <w:t>eura</w:t>
      </w:r>
      <w:proofErr w:type="spellEnd"/>
      <w:r>
        <w:t xml:space="preserve">, za </w:t>
      </w:r>
      <w:proofErr w:type="spellStart"/>
      <w:r>
        <w:t>isplatu</w:t>
      </w:r>
      <w:proofErr w:type="spellEnd"/>
      <w:r>
        <w:t xml:space="preserve"> 4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za </w:t>
      </w:r>
      <w:proofErr w:type="spellStart"/>
      <w:r>
        <w:t>krizni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1.060,20 </w:t>
      </w:r>
      <w:proofErr w:type="spellStart"/>
      <w:r>
        <w:t>eura</w:t>
      </w:r>
      <w:proofErr w:type="spellEnd"/>
      <w:r>
        <w:t xml:space="preserve">; </w:t>
      </w:r>
      <w:proofErr w:type="spellStart"/>
      <w:r>
        <w:t>prihod</w:t>
      </w:r>
      <w:proofErr w:type="spellEnd"/>
      <w:r>
        <w:t xml:space="preserve"> za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prehrane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118.589,24 </w:t>
      </w:r>
      <w:proofErr w:type="spellStart"/>
      <w:r>
        <w:t>eura</w:t>
      </w:r>
      <w:proofErr w:type="spellEnd"/>
      <w:r>
        <w:t xml:space="preserve">,  ŽSV =490,00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grad </w:t>
      </w:r>
      <w:proofErr w:type="spellStart"/>
      <w:r>
        <w:t>Kaštela</w:t>
      </w:r>
      <w:proofErr w:type="spellEnd"/>
      <w:r>
        <w:t xml:space="preserve"> </w:t>
      </w:r>
      <w:proofErr w:type="spellStart"/>
      <w:r>
        <w:t>financira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u </w:t>
      </w:r>
      <w:proofErr w:type="gramStart"/>
      <w:r>
        <w:t>1.polovici</w:t>
      </w:r>
      <w:proofErr w:type="gramEnd"/>
      <w:r>
        <w:t xml:space="preserve"> 2025.g.  52.828,67,65 </w:t>
      </w:r>
      <w:proofErr w:type="spellStart"/>
      <w:r>
        <w:t>eura</w:t>
      </w:r>
      <w:proofErr w:type="spellEnd"/>
      <w:r>
        <w:t xml:space="preserve">. Od tog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pomoćnike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31.828,67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: </w:t>
      </w:r>
      <w:proofErr w:type="spellStart"/>
      <w:r>
        <w:t>adaptacija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10.000,00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razglas</w:t>
      </w:r>
      <w:proofErr w:type="spellEnd"/>
      <w:r>
        <w:t xml:space="preserve">,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odore</w:t>
      </w:r>
      <w:proofErr w:type="spellEnd"/>
      <w:r>
        <w:t xml:space="preserve"> za </w:t>
      </w:r>
      <w:proofErr w:type="spellStart"/>
      <w:r>
        <w:t>klapu</w:t>
      </w:r>
      <w:proofErr w:type="spellEnd"/>
      <w:r>
        <w:t xml:space="preserve"> </w:t>
      </w:r>
      <w:proofErr w:type="spellStart"/>
      <w:r>
        <w:t>Trpimirke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5.000,00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 OŠ u </w:t>
      </w:r>
      <w:proofErr w:type="spellStart"/>
      <w:r>
        <w:t>iznosu</w:t>
      </w:r>
      <w:proofErr w:type="spellEnd"/>
      <w:r>
        <w:t xml:space="preserve"> od 4.000,00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„</w:t>
      </w:r>
      <w:proofErr w:type="spellStart"/>
      <w:r>
        <w:t>Sačuvajmo</w:t>
      </w:r>
      <w:proofErr w:type="spellEnd"/>
      <w:r>
        <w:t xml:space="preserve"> </w:t>
      </w:r>
      <w:proofErr w:type="spellStart"/>
      <w:r>
        <w:t>Bijaće</w:t>
      </w:r>
      <w:proofErr w:type="spellEnd"/>
      <w:r>
        <w:t xml:space="preserve"> u </w:t>
      </w:r>
      <w:proofErr w:type="gramStart"/>
      <w:r>
        <w:t>21.stoljeću</w:t>
      </w:r>
      <w:proofErr w:type="gramEnd"/>
      <w:r>
        <w:t xml:space="preserve">“ u </w:t>
      </w:r>
      <w:proofErr w:type="spellStart"/>
      <w:r>
        <w:t>iznosu</w:t>
      </w:r>
      <w:proofErr w:type="spellEnd"/>
      <w:r>
        <w:t xml:space="preserve"> od 2.000,00 </w:t>
      </w:r>
      <w:proofErr w:type="spellStart"/>
      <w:r>
        <w:t>eura</w:t>
      </w:r>
      <w:proofErr w:type="spellEnd"/>
      <w:r>
        <w:t>.</w:t>
      </w:r>
    </w:p>
    <w:p w14:paraId="774D143F" w14:textId="77777777" w:rsidR="00FC283E" w:rsidRDefault="00FC283E"/>
    <w:p w14:paraId="630EAA39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30CFAFC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A537EE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F7C8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39236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10B6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E489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416E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32F6F0B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96410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4A6391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Kapitalne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proračunskim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korisnicima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koji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nadležan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DA9554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9FA7AF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F0BB45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CFF9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144,7</w:t>
            </w:r>
          </w:p>
        </w:tc>
      </w:tr>
    </w:tbl>
    <w:p w14:paraId="467C9B27" w14:textId="77777777" w:rsidR="00FC283E" w:rsidRDefault="00FC283E">
      <w:pPr>
        <w:spacing w:after="0"/>
      </w:pPr>
    </w:p>
    <w:p w14:paraId="355913BD" w14:textId="77777777" w:rsidR="00FC283E" w:rsidRDefault="00B340A8">
      <w:pPr>
        <w:spacing w:line="240" w:lineRule="auto"/>
        <w:jc w:val="both"/>
      </w:pP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Kaštela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projekt</w:t>
      </w:r>
      <w:proofErr w:type="spellEnd"/>
      <w:proofErr w:type="gramEnd"/>
      <w:r>
        <w:t xml:space="preserve">: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baterijskog</w:t>
      </w:r>
      <w:proofErr w:type="spellEnd"/>
      <w:r>
        <w:t xml:space="preserve"> </w:t>
      </w:r>
      <w:proofErr w:type="spellStart"/>
      <w:r>
        <w:t>stroja</w:t>
      </w:r>
      <w:proofErr w:type="spellEnd"/>
      <w:r>
        <w:t xml:space="preserve"> za </w:t>
      </w:r>
      <w:proofErr w:type="spellStart"/>
      <w:r>
        <w:t>ribanje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usisavanje</w:t>
      </w:r>
      <w:proofErr w:type="spellEnd"/>
      <w:r>
        <w:t xml:space="preserve">)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4.390,09 </w:t>
      </w:r>
      <w:proofErr w:type="spellStart"/>
      <w:r>
        <w:t>eura</w:t>
      </w:r>
      <w:proofErr w:type="spellEnd"/>
      <w:r>
        <w:t>.</w:t>
      </w:r>
    </w:p>
    <w:p w14:paraId="35571B11" w14:textId="77777777" w:rsidR="00FC283E" w:rsidRDefault="00FC283E"/>
    <w:p w14:paraId="69B63A1C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59DAFBC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E0235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8419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8B27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A3680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DBBF5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8972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0AE2E7A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FA921B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C3FD35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Tekući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prijenosi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između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temeljem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prijenosa</w:t>
            </w:r>
            <w:proofErr w:type="spellEnd"/>
            <w:r>
              <w:rPr>
                <w:sz w:val="18"/>
              </w:rPr>
              <w:t xml:space="preserve"> EU </w:t>
            </w:r>
            <w:proofErr w:type="spellStart"/>
            <w:r>
              <w:rPr>
                <w:sz w:val="18"/>
              </w:rPr>
              <w:t>sredstava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5CD9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3C226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22.538,28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014E8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30.306,25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2F051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134,5</w:t>
            </w:r>
          </w:p>
        </w:tc>
      </w:tr>
    </w:tbl>
    <w:p w14:paraId="3DDC954E" w14:textId="77777777" w:rsidR="00FC283E" w:rsidRDefault="00FC283E">
      <w:pPr>
        <w:spacing w:after="0"/>
      </w:pPr>
    </w:p>
    <w:p w14:paraId="5258A34F" w14:textId="77777777" w:rsidR="00FC283E" w:rsidRDefault="00B340A8">
      <w:pPr>
        <w:spacing w:line="240" w:lineRule="auto"/>
        <w:jc w:val="both"/>
      </w:pPr>
      <w:r>
        <w:t xml:space="preserve">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</w:t>
      </w:r>
      <w:proofErr w:type="spellStart"/>
      <w:r>
        <w:t>evidentirani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namijenjeni</w:t>
      </w:r>
      <w:proofErr w:type="spellEnd"/>
      <w:r>
        <w:t xml:space="preserve"> EU </w:t>
      </w:r>
      <w:proofErr w:type="spellStart"/>
      <w:r>
        <w:t>projektu</w:t>
      </w:r>
      <w:proofErr w:type="spellEnd"/>
      <w:r>
        <w:t xml:space="preserve"> „</w:t>
      </w:r>
      <w:proofErr w:type="spellStart"/>
      <w:r>
        <w:t>Učimo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gramStart"/>
      <w:r>
        <w:t>VII“</w:t>
      </w:r>
      <w:proofErr w:type="gramEnd"/>
      <w:r>
        <w:t xml:space="preserve">.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proofErr w:type="gramStart"/>
      <w:r>
        <w:t>povećanja</w:t>
      </w:r>
      <w:proofErr w:type="spellEnd"/>
      <w:r>
        <w:t xml:space="preserve">  </w:t>
      </w:r>
      <w:proofErr w:type="spellStart"/>
      <w:r>
        <w:t>postotka</w:t>
      </w:r>
      <w:proofErr w:type="spellEnd"/>
      <w:proofErr w:type="gramEnd"/>
      <w:r>
        <w:t xml:space="preserve"> koji se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14:paraId="2D7DDC9A" w14:textId="77777777" w:rsidR="00FC283E" w:rsidRDefault="00FC283E"/>
    <w:p w14:paraId="5084BDAF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1594C3E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6DD63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BED3B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C087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6E7F6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1B2E2B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C722F3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1ADD994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2B7578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463132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nespomenuti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DA1246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BC95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68EEFF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581,57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569E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424D9C52" w14:textId="77777777" w:rsidR="00FC283E" w:rsidRDefault="00FC283E">
      <w:pPr>
        <w:spacing w:after="0"/>
      </w:pPr>
    </w:p>
    <w:p w14:paraId="3672CEBB" w14:textId="77777777" w:rsidR="00FC283E" w:rsidRDefault="00B340A8">
      <w:pPr>
        <w:spacing w:line="240" w:lineRule="auto"/>
        <w:jc w:val="both"/>
      </w:pPr>
      <w:proofErr w:type="spellStart"/>
      <w:r>
        <w:t>Naplaćeni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izgubljeni</w:t>
      </w:r>
      <w:proofErr w:type="spellEnd"/>
      <w:r>
        <w:t xml:space="preserve"> /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udžbenici</w:t>
      </w:r>
      <w:proofErr w:type="spellEnd"/>
      <w:r>
        <w:t>.</w:t>
      </w:r>
    </w:p>
    <w:p w14:paraId="6D71A6B6" w14:textId="77777777" w:rsidR="00FC283E" w:rsidRDefault="00FC283E"/>
    <w:p w14:paraId="3C157899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39E778B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04F6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25F9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09B01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B46D5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D2A0E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73AE0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1EDB24C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0FC7BA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6DCE9C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9C1EA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51989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1.356.948,08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585044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1.810.255,25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0C385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133,4</w:t>
            </w:r>
          </w:p>
        </w:tc>
      </w:tr>
    </w:tbl>
    <w:p w14:paraId="581E8370" w14:textId="77777777" w:rsidR="00FC283E" w:rsidRDefault="00FC283E">
      <w:pPr>
        <w:spacing w:after="0"/>
      </w:pPr>
    </w:p>
    <w:p w14:paraId="25A552C7" w14:textId="77777777" w:rsidR="00FC283E" w:rsidRDefault="00B340A8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-u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knjiženja</w:t>
      </w:r>
      <w:proofErr w:type="spellEnd"/>
      <w:r>
        <w:t xml:space="preserve"> (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)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 COP-a; </w:t>
      </w:r>
      <w:proofErr w:type="spellStart"/>
      <w:r>
        <w:t>plaće</w:t>
      </w:r>
      <w:proofErr w:type="spellEnd"/>
      <w:r>
        <w:t xml:space="preserve"> za 5 </w:t>
      </w:r>
      <w:proofErr w:type="spellStart"/>
      <w:r>
        <w:t>pomoćnike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Kaštela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za 13 </w:t>
      </w:r>
      <w:proofErr w:type="spellStart"/>
      <w:r>
        <w:t>pomoćnika</w:t>
      </w:r>
      <w:proofErr w:type="spellEnd"/>
      <w:r>
        <w:t xml:space="preserve"> EU.</w:t>
      </w:r>
    </w:p>
    <w:p w14:paraId="52657622" w14:textId="77777777" w:rsidR="00FC283E" w:rsidRDefault="00FC283E"/>
    <w:p w14:paraId="1971C807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0B58BFD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13679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791A4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16E7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74A7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61319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B75C3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65DB7CF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3335A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95E4A6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materijal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energiju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1B628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5EE0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109.876,20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6A5A8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161.737,60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0369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147,2</w:t>
            </w:r>
          </w:p>
        </w:tc>
      </w:tr>
    </w:tbl>
    <w:p w14:paraId="3055494D" w14:textId="77777777" w:rsidR="00FC283E" w:rsidRDefault="00FC283E">
      <w:pPr>
        <w:spacing w:after="0"/>
      </w:pPr>
    </w:p>
    <w:p w14:paraId="52E9CC57" w14:textId="77777777" w:rsidR="00FC283E" w:rsidRDefault="00B340A8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da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 (</w:t>
      </w:r>
      <w:proofErr w:type="spellStart"/>
      <w:r>
        <w:t>prelazili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) </w:t>
      </w:r>
      <w:proofErr w:type="spellStart"/>
      <w:proofErr w:type="gramStart"/>
      <w:r>
        <w:t>teretio</w:t>
      </w:r>
      <w:proofErr w:type="spellEnd"/>
      <w:r>
        <w:t xml:space="preserve">  2025.g.</w:t>
      </w:r>
      <w:proofErr w:type="gramEnd"/>
    </w:p>
    <w:p w14:paraId="6E50F660" w14:textId="77777777" w:rsidR="00FC283E" w:rsidRDefault="00FC283E"/>
    <w:p w14:paraId="3308B9BC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3A51BDB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CA3AA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A402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C570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62DA1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549F0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66D6F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3730DAD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E8C6BC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1D1AA6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interneta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pošte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prijevoza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9431F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4E8F07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28.790,54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D1CA65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46.312,68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4E7024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160,9</w:t>
            </w:r>
          </w:p>
        </w:tc>
      </w:tr>
    </w:tbl>
    <w:p w14:paraId="684821B3" w14:textId="77777777" w:rsidR="00FC283E" w:rsidRDefault="00FC283E">
      <w:pPr>
        <w:spacing w:after="0"/>
      </w:pPr>
    </w:p>
    <w:p w14:paraId="3241C7B0" w14:textId="77777777" w:rsidR="00FC283E" w:rsidRDefault="00B340A8">
      <w:pPr>
        <w:spacing w:line="240" w:lineRule="auto"/>
        <w:jc w:val="both"/>
      </w:pPr>
      <w:r>
        <w:t xml:space="preserve">Ova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je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 (</w:t>
      </w:r>
      <w:proofErr w:type="spellStart"/>
      <w:r>
        <w:t>prelazili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), a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otkazivanja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prijevoznika</w:t>
      </w:r>
      <w:proofErr w:type="spellEnd"/>
      <w:r>
        <w:t>.</w:t>
      </w:r>
    </w:p>
    <w:p w14:paraId="209687DA" w14:textId="77777777" w:rsidR="00FC283E" w:rsidRDefault="00FC283E"/>
    <w:p w14:paraId="49E672AA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0415452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9ADA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723C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C5444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D9BC6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D761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480C8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34C5B2D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9AB4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FD782B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tekućeg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investicijskog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održavanja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F80999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9515B7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6.800,28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6ECCD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12.799,81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6541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188,2</w:t>
            </w:r>
          </w:p>
        </w:tc>
      </w:tr>
    </w:tbl>
    <w:p w14:paraId="1F6B38A1" w14:textId="77777777" w:rsidR="00FC283E" w:rsidRDefault="00FC283E">
      <w:pPr>
        <w:spacing w:after="0"/>
      </w:pPr>
    </w:p>
    <w:p w14:paraId="6F682D63" w14:textId="77777777" w:rsidR="00FC283E" w:rsidRDefault="00B340A8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adaptacije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prozori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financirao</w:t>
      </w:r>
      <w:proofErr w:type="spellEnd"/>
      <w:r>
        <w:t xml:space="preserve"> grad </w:t>
      </w:r>
      <w:proofErr w:type="spellStart"/>
      <w:r>
        <w:t>Kaštela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9.997,00 </w:t>
      </w:r>
      <w:proofErr w:type="spellStart"/>
      <w:r>
        <w:t>eura</w:t>
      </w:r>
      <w:proofErr w:type="spellEnd"/>
      <w:r>
        <w:t>.</w:t>
      </w:r>
    </w:p>
    <w:p w14:paraId="0AA211F3" w14:textId="77777777" w:rsidR="00FC283E" w:rsidRDefault="00FC283E"/>
    <w:p w14:paraId="069748CF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2180F98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D0E32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A6FA4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DB542B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38FD8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63842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D1B10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06C0012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F1EC1C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FBEB3A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Intelektualne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7BF00D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B516B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3524D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3.881,37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D385C8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182,7</w:t>
            </w:r>
          </w:p>
        </w:tc>
      </w:tr>
    </w:tbl>
    <w:p w14:paraId="0EFA0C0B" w14:textId="77777777" w:rsidR="00FC283E" w:rsidRDefault="00FC283E">
      <w:pPr>
        <w:spacing w:after="0"/>
      </w:pPr>
    </w:p>
    <w:p w14:paraId="29ACBCAB" w14:textId="77777777" w:rsidR="00FC283E" w:rsidRDefault="00B340A8">
      <w:pPr>
        <w:spacing w:line="240" w:lineRule="auto"/>
        <w:jc w:val="both"/>
      </w:pP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lani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snimanje</w:t>
      </w:r>
      <w:proofErr w:type="spellEnd"/>
      <w:r>
        <w:t xml:space="preserve"> </w:t>
      </w:r>
      <w:proofErr w:type="spellStart"/>
      <w:proofErr w:type="gramStart"/>
      <w:r>
        <w:t>pjesme</w:t>
      </w:r>
      <w:proofErr w:type="spellEnd"/>
      <w:r>
        <w:t>(</w:t>
      </w:r>
      <w:proofErr w:type="spellStart"/>
      <w:proofErr w:type="gramEnd"/>
      <w:r>
        <w:t>autorski</w:t>
      </w:r>
      <w:proofErr w:type="spellEnd"/>
      <w:r>
        <w:t xml:space="preserve"> </w:t>
      </w:r>
      <w:proofErr w:type="spellStart"/>
      <w:r>
        <w:t>honorar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952,85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za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prijevoz </w:t>
      </w:r>
      <w:proofErr w:type="spellStart"/>
      <w:r>
        <w:t>učenika</w:t>
      </w:r>
      <w:proofErr w:type="spellEnd"/>
      <w:r>
        <w:t xml:space="preserve"> (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otkazivanja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prijevoznika</w:t>
      </w:r>
      <w:proofErr w:type="spellEnd"/>
      <w:r>
        <w:t>).</w:t>
      </w:r>
    </w:p>
    <w:p w14:paraId="62CEA836" w14:textId="77777777" w:rsidR="00FC283E" w:rsidRDefault="00FC283E"/>
    <w:p w14:paraId="2D181362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4BDBC02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C626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48E8E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1BE90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C81FE3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C4006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10A0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6FBD48A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67AF26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B71EDE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28113A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29AB1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2.134,00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5AD6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17.023,55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2B3C84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797,7</w:t>
            </w:r>
          </w:p>
        </w:tc>
      </w:tr>
    </w:tbl>
    <w:p w14:paraId="4B981690" w14:textId="77777777" w:rsidR="00FC283E" w:rsidRDefault="00FC283E">
      <w:pPr>
        <w:spacing w:after="0"/>
      </w:pPr>
    </w:p>
    <w:p w14:paraId="24A676A5" w14:textId="77777777" w:rsidR="00FC283E" w:rsidRDefault="00B340A8">
      <w:pPr>
        <w:spacing w:line="240" w:lineRule="auto"/>
        <w:jc w:val="both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porasle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angažiranja</w:t>
      </w:r>
      <w:proofErr w:type="spellEnd"/>
      <w:r>
        <w:t xml:space="preserve"> </w:t>
      </w:r>
      <w:proofErr w:type="spellStart"/>
      <w:proofErr w:type="gramStart"/>
      <w:r>
        <w:t>zaštitara</w:t>
      </w:r>
      <w:proofErr w:type="spellEnd"/>
      <w:r>
        <w:t xml:space="preserve"> .</w:t>
      </w:r>
      <w:proofErr w:type="gramEnd"/>
    </w:p>
    <w:p w14:paraId="212253BD" w14:textId="77777777" w:rsidR="00FC283E" w:rsidRDefault="00FC283E"/>
    <w:p w14:paraId="3CF32B30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71B91E4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CCACB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C133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49500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8F5DA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09A6D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25CA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4F63CF2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B58B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16627B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Troškovi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sudskih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postupaka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CCDCE8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436A0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2.798,45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48504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4.656,25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CD92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166,4</w:t>
            </w:r>
          </w:p>
        </w:tc>
      </w:tr>
    </w:tbl>
    <w:p w14:paraId="430F4CDC" w14:textId="77777777" w:rsidR="00FC283E" w:rsidRDefault="00FC283E">
      <w:pPr>
        <w:spacing w:after="0"/>
      </w:pPr>
    </w:p>
    <w:p w14:paraId="3D045C27" w14:textId="77777777" w:rsidR="00FC283E" w:rsidRDefault="00B340A8">
      <w:pPr>
        <w:spacing w:line="240" w:lineRule="auto"/>
        <w:jc w:val="both"/>
      </w:pP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preostalih</w:t>
      </w:r>
      <w:proofErr w:type="spellEnd"/>
      <w:r>
        <w:t xml:space="preserve"> 11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6B5021E7" w14:textId="77777777" w:rsidR="00FC283E" w:rsidRDefault="00FC283E"/>
    <w:p w14:paraId="7C317DAC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62DFC47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F18E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5B6C0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4B0F2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1D64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D69D6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1BEC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421CA81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80AE3F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A97664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Zatezne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kamate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2F8316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C4DC01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1.640,82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38D341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0D23A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170,5</w:t>
            </w:r>
          </w:p>
        </w:tc>
      </w:tr>
    </w:tbl>
    <w:p w14:paraId="606A2518" w14:textId="77777777" w:rsidR="00FC283E" w:rsidRDefault="00FC283E">
      <w:pPr>
        <w:spacing w:after="0"/>
      </w:pPr>
    </w:p>
    <w:p w14:paraId="631DEB46" w14:textId="77777777" w:rsidR="00FC283E" w:rsidRDefault="00B340A8">
      <w:pPr>
        <w:spacing w:line="240" w:lineRule="auto"/>
        <w:jc w:val="both"/>
      </w:pP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preostalih</w:t>
      </w:r>
      <w:proofErr w:type="spellEnd"/>
      <w:r>
        <w:t xml:space="preserve"> 11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0DD7C94E" w14:textId="77777777" w:rsidR="00FC283E" w:rsidRDefault="00FC283E"/>
    <w:p w14:paraId="2A5265E4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09A79E7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1BAA4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604673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7B8FC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6C11E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B8C3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EEFE8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6C927FF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772D1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0ADBB3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Uredska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namještaj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9B28FC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8025E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3B37B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4.744,80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D5E3D8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261,2</w:t>
            </w:r>
          </w:p>
        </w:tc>
      </w:tr>
    </w:tbl>
    <w:p w14:paraId="4B438D1B" w14:textId="77777777" w:rsidR="00FC283E" w:rsidRDefault="00FC283E">
      <w:pPr>
        <w:spacing w:after="0"/>
      </w:pPr>
    </w:p>
    <w:p w14:paraId="79891A26" w14:textId="77777777" w:rsidR="00FC283E" w:rsidRDefault="00B340A8">
      <w:pPr>
        <w:spacing w:line="240" w:lineRule="auto"/>
        <w:jc w:val="both"/>
      </w:pPr>
      <w:r>
        <w:t xml:space="preserve">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stavci</w:t>
      </w:r>
      <w:proofErr w:type="spellEnd"/>
      <w:r>
        <w:t xml:space="preserve"> </w:t>
      </w:r>
      <w:proofErr w:type="spellStart"/>
      <w:r>
        <w:t>knjižena</w:t>
      </w:r>
      <w:proofErr w:type="spellEnd"/>
      <w:r>
        <w:t xml:space="preserve"> je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8 </w:t>
      </w:r>
      <w:proofErr w:type="spellStart"/>
      <w:r>
        <w:t>računala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 laptop.</w:t>
      </w:r>
    </w:p>
    <w:p w14:paraId="1BBD1FBD" w14:textId="77777777" w:rsidR="00FC283E" w:rsidRDefault="00FC283E"/>
    <w:p w14:paraId="417759EC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6282490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C1786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577DE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442EB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C08BE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C4E97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3CBF4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6C1F194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395E26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DDBD42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Sportska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glazbena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oprema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26492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C8F57A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7E2B4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4E1F99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018C94E" w14:textId="77777777" w:rsidR="00FC283E" w:rsidRDefault="00FC283E">
      <w:pPr>
        <w:spacing w:after="0"/>
      </w:pPr>
    </w:p>
    <w:p w14:paraId="51EF5E05" w14:textId="77777777" w:rsidR="00FC283E" w:rsidRDefault="00B340A8">
      <w:pPr>
        <w:spacing w:line="240" w:lineRule="auto"/>
        <w:jc w:val="both"/>
      </w:pPr>
      <w:r>
        <w:t xml:space="preserve">Na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je </w:t>
      </w:r>
      <w:proofErr w:type="spellStart"/>
      <w:r>
        <w:t>knjižen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glazbenih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 xml:space="preserve"> .</w:t>
      </w:r>
      <w:proofErr w:type="gramEnd"/>
    </w:p>
    <w:p w14:paraId="66F6D7DB" w14:textId="77777777" w:rsidR="00FC283E" w:rsidRDefault="00FC283E"/>
    <w:p w14:paraId="26C3E592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74B1EDD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4AD2ED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AB37B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141FF2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A4B7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E4283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DA887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08FD1C2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FEE657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D77425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Uređaji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strojevi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oprema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8F6F6F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B2AD71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B4CA2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B140E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12EC1F0" w14:textId="77777777" w:rsidR="00FC283E" w:rsidRDefault="00FC283E">
      <w:pPr>
        <w:spacing w:after="0"/>
      </w:pPr>
    </w:p>
    <w:p w14:paraId="29D2FAFE" w14:textId="77777777" w:rsidR="00FC283E" w:rsidRDefault="00B340A8">
      <w:pPr>
        <w:spacing w:line="240" w:lineRule="auto"/>
        <w:jc w:val="both"/>
      </w:pP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rashod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baterijskog</w:t>
      </w:r>
      <w:proofErr w:type="spellEnd"/>
      <w:r>
        <w:t xml:space="preserve"> </w:t>
      </w:r>
      <w:proofErr w:type="spellStart"/>
      <w:r>
        <w:t>stroja</w:t>
      </w:r>
      <w:proofErr w:type="spellEnd"/>
      <w:r>
        <w:t xml:space="preserve"> za </w:t>
      </w:r>
      <w:proofErr w:type="spellStart"/>
      <w:r>
        <w:t>ribanje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usisavanje</w:t>
      </w:r>
      <w:proofErr w:type="spellEnd"/>
    </w:p>
    <w:p w14:paraId="1DF39DD8" w14:textId="77777777" w:rsidR="00FC283E" w:rsidRDefault="00FC283E"/>
    <w:p w14:paraId="25FB2A75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C283E" w14:paraId="3E13B81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988CD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EFE41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CAC4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AD1A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9B8D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46998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70CA69F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8B572E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9C31F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68C2F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AC8F50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02B84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206.153,49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64F2F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04F0577" w14:textId="77777777" w:rsidR="00FC283E" w:rsidRDefault="00FC283E">
      <w:pPr>
        <w:spacing w:after="0"/>
      </w:pPr>
    </w:p>
    <w:p w14:paraId="129161A7" w14:textId="77777777" w:rsidR="00FC283E" w:rsidRDefault="00B340A8">
      <w:pPr>
        <w:spacing w:line="240" w:lineRule="auto"/>
        <w:jc w:val="both"/>
      </w:pPr>
      <w:proofErr w:type="spellStart"/>
      <w:r>
        <w:t>Manjak</w:t>
      </w:r>
      <w:proofErr w:type="spellEnd"/>
      <w:r>
        <w:t xml:space="preserve"> je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u </w:t>
      </w:r>
      <w:proofErr w:type="spellStart"/>
      <w:r>
        <w:t>knjiženju</w:t>
      </w:r>
      <w:proofErr w:type="spellEnd"/>
      <w:r>
        <w:t xml:space="preserve"> od </w:t>
      </w:r>
      <w:proofErr w:type="gramStart"/>
      <w:r>
        <w:t>01.siječnja</w:t>
      </w:r>
      <w:proofErr w:type="gramEnd"/>
      <w:r>
        <w:t xml:space="preserve"> 2025.g. -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. </w:t>
      </w:r>
      <w:proofErr w:type="spellStart"/>
      <w:r>
        <w:t>Konto</w:t>
      </w:r>
      <w:proofErr w:type="spellEnd"/>
      <w:r>
        <w:t xml:space="preserve"> 19311-kontinuirani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je </w:t>
      </w:r>
      <w:proofErr w:type="spellStart"/>
      <w:r>
        <w:t>ukinut</w:t>
      </w:r>
      <w:proofErr w:type="spellEnd"/>
      <w:r>
        <w:t xml:space="preserve"> pa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za 6-2025. u </w:t>
      </w:r>
      <w:proofErr w:type="spellStart"/>
      <w:r>
        <w:t>iznosu</w:t>
      </w:r>
      <w:proofErr w:type="spellEnd"/>
      <w:r>
        <w:t xml:space="preserve"> od 198.990,93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iznos</w:t>
      </w:r>
      <w:proofErr w:type="spellEnd"/>
      <w:r>
        <w:t>.</w:t>
      </w:r>
    </w:p>
    <w:p w14:paraId="6E5BF8B7" w14:textId="77777777" w:rsidR="00FC283E" w:rsidRDefault="00FC283E"/>
    <w:p w14:paraId="59617565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14:paraId="0AE199B5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C283E" w14:paraId="4FF9049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D26B74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710B8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4BB7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29D579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F50BC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1CE6D14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326CA7" w14:textId="77777777" w:rsidR="00FC283E" w:rsidRDefault="00FC283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7EFAF0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+ 'D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z w:val="18"/>
              </w:rPr>
              <w:t xml:space="preserve">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6DB2D6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729A14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12.323,12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8DBF0B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DF85BAD" w14:textId="77777777" w:rsidR="00FC283E" w:rsidRDefault="00FC283E">
      <w:pPr>
        <w:spacing w:after="0"/>
      </w:pPr>
    </w:p>
    <w:p w14:paraId="1BE1DA7C" w14:textId="77777777" w:rsidR="00FC283E" w:rsidRDefault="00B340A8">
      <w:pPr>
        <w:spacing w:line="240" w:lineRule="auto"/>
        <w:jc w:val="both"/>
      </w:pPr>
      <w:proofErr w:type="spellStart"/>
      <w:r>
        <w:t>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računi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prekoračenjem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par dana.  </w:t>
      </w:r>
      <w:proofErr w:type="spellStart"/>
      <w:r>
        <w:t>Pretežiti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tjelesnu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2.992,50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prijevoz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6.900,00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prekoračio</w:t>
      </w:r>
      <w:proofErr w:type="spellEnd"/>
      <w:r>
        <w:t xml:space="preserve"> 60 dana (344,45 </w:t>
      </w:r>
      <w:proofErr w:type="spellStart"/>
      <w:proofErr w:type="gramStart"/>
      <w:r>
        <w:t>eura</w:t>
      </w:r>
      <w:proofErr w:type="spellEnd"/>
      <w:r>
        <w:t>)</w:t>
      </w:r>
      <w:proofErr w:type="spellStart"/>
      <w:r>
        <w:t>odnosi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prehranu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(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uplaćena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potraživati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omogućeno</w:t>
      </w:r>
      <w:proofErr w:type="spellEnd"/>
      <w:r>
        <w:t>.</w:t>
      </w:r>
    </w:p>
    <w:p w14:paraId="42878A55" w14:textId="77777777" w:rsidR="00FC283E" w:rsidRDefault="00FC283E"/>
    <w:p w14:paraId="64D2BD10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C283E" w14:paraId="1154EF1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BF50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E36AFF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8CC2F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FF077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58FFA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194E5A2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65AA3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3EC2F1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Obveze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rashode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poslovanja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C94051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B526B6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253.440,87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9AF24C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DE640E5" w14:textId="77777777" w:rsidR="00FC283E" w:rsidRDefault="00FC283E">
      <w:pPr>
        <w:spacing w:after="0"/>
      </w:pPr>
    </w:p>
    <w:p w14:paraId="35547526" w14:textId="77777777" w:rsidR="00FC283E" w:rsidRDefault="00B340A8">
      <w:pPr>
        <w:spacing w:line="240" w:lineRule="auto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plaću</w:t>
      </w:r>
      <w:proofErr w:type="spellEnd"/>
      <w:r>
        <w:t xml:space="preserve"> za </w:t>
      </w:r>
      <w:proofErr w:type="spellStart"/>
      <w:r>
        <w:t>zaposlenike</w:t>
      </w:r>
      <w:proofErr w:type="spellEnd"/>
      <w:r>
        <w:t xml:space="preserve"> za 6/2025 u </w:t>
      </w:r>
      <w:proofErr w:type="spellStart"/>
      <w:r>
        <w:t>iznosu</w:t>
      </w:r>
      <w:proofErr w:type="spellEnd"/>
      <w:r>
        <w:t xml:space="preserve"> od 198.990,93 </w:t>
      </w:r>
      <w:proofErr w:type="spellStart"/>
      <w:proofErr w:type="gramStart"/>
      <w:r>
        <w:t>eura</w:t>
      </w:r>
      <w:proofErr w:type="spellEnd"/>
      <w:r>
        <w:t xml:space="preserve">;  </w:t>
      </w:r>
      <w:proofErr w:type="spellStart"/>
      <w:r>
        <w:t>plaće</w:t>
      </w:r>
      <w:proofErr w:type="spellEnd"/>
      <w:proofErr w:type="gramEnd"/>
      <w:r>
        <w:t xml:space="preserve"> za </w:t>
      </w:r>
      <w:proofErr w:type="spellStart"/>
      <w:r>
        <w:t>pomoćnike</w:t>
      </w:r>
      <w:proofErr w:type="spellEnd"/>
      <w:r>
        <w:t xml:space="preserve"> (grad </w:t>
      </w:r>
      <w:proofErr w:type="spellStart"/>
      <w:r>
        <w:t>Kaštela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od 4.912,38 </w:t>
      </w:r>
      <w:proofErr w:type="spellStart"/>
      <w:r>
        <w:t>eura</w:t>
      </w:r>
      <w:proofErr w:type="spellEnd"/>
      <w:r>
        <w:t xml:space="preserve">;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pomoćnike</w:t>
      </w:r>
      <w:proofErr w:type="spellEnd"/>
      <w:r>
        <w:t xml:space="preserve"> za 6/2025(SDŽ) u </w:t>
      </w:r>
      <w:proofErr w:type="spellStart"/>
      <w:r>
        <w:t>iznosu</w:t>
      </w:r>
      <w:proofErr w:type="spellEnd"/>
      <w:r>
        <w:t xml:space="preserve"> od 12.473,32 </w:t>
      </w:r>
      <w:proofErr w:type="spellStart"/>
      <w:r>
        <w:t>eura</w:t>
      </w:r>
      <w:proofErr w:type="spellEnd"/>
      <w:r>
        <w:t xml:space="preserve">; </w:t>
      </w:r>
      <w:proofErr w:type="spellStart"/>
      <w:r>
        <w:t>računi</w:t>
      </w:r>
      <w:proofErr w:type="spellEnd"/>
      <w:r>
        <w:t xml:space="preserve"> za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34.141,31 </w:t>
      </w:r>
      <w:proofErr w:type="spellStart"/>
      <w:r>
        <w:t>eura</w:t>
      </w:r>
      <w:proofErr w:type="spellEnd"/>
      <w:r>
        <w:t xml:space="preserve">;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higijenske</w:t>
      </w:r>
      <w:proofErr w:type="spellEnd"/>
      <w:r>
        <w:t xml:space="preserve"> </w:t>
      </w:r>
      <w:proofErr w:type="spellStart"/>
      <w:r>
        <w:t>potrepštine</w:t>
      </w:r>
      <w:proofErr w:type="spellEnd"/>
      <w:r>
        <w:t xml:space="preserve"> </w:t>
      </w:r>
      <w:proofErr w:type="spellStart"/>
      <w:r>
        <w:t>učenica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1.860,77 </w:t>
      </w:r>
      <w:proofErr w:type="spellStart"/>
      <w:r>
        <w:t>eura</w:t>
      </w:r>
      <w:proofErr w:type="spellEnd"/>
      <w:r>
        <w:t>, e-</w:t>
      </w:r>
      <w:proofErr w:type="spellStart"/>
      <w:r>
        <w:t>tehničar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199,08 </w:t>
      </w:r>
      <w:proofErr w:type="spellStart"/>
      <w:r>
        <w:t>eura</w:t>
      </w:r>
      <w:proofErr w:type="spellEnd"/>
      <w:r>
        <w:t>...</w:t>
      </w:r>
    </w:p>
    <w:p w14:paraId="041EF246" w14:textId="77777777" w:rsidR="00FC283E" w:rsidRDefault="00FC283E"/>
    <w:p w14:paraId="32411523" w14:textId="77777777" w:rsidR="00FC283E" w:rsidRDefault="00B340A8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C283E" w14:paraId="4F555D1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D4B1EA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BA1B73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BE285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EDD6B0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521DFE" w14:textId="77777777" w:rsidR="00FC283E" w:rsidRDefault="00B340A8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C283E" w14:paraId="68EF28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E0D73B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ADBBCB" w14:textId="77777777" w:rsidR="00FC283E" w:rsidRDefault="00B340A8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Obveze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predujmove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depozite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tuđe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0A078E" w14:textId="77777777" w:rsidR="00FC283E" w:rsidRDefault="00B340A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D09DE3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12.473,33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45FC5D" w14:textId="77777777" w:rsidR="00FC283E" w:rsidRDefault="00B340A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F7FA65" w14:textId="77777777" w:rsidR="00FC283E" w:rsidRDefault="00FC283E">
      <w:pPr>
        <w:spacing w:after="0"/>
      </w:pPr>
    </w:p>
    <w:p w14:paraId="794DB919" w14:textId="77777777" w:rsidR="00FC283E" w:rsidRDefault="00B340A8">
      <w:pPr>
        <w:spacing w:line="240" w:lineRule="auto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bolovanja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42 dana.</w:t>
      </w:r>
    </w:p>
    <w:p w14:paraId="35C2EE11" w14:textId="67B4075A" w:rsidR="00FC283E" w:rsidRDefault="00FC283E"/>
    <w:p w14:paraId="008AE68F" w14:textId="6BBBADC6" w:rsidR="00B43B56" w:rsidRDefault="00B43B56"/>
    <w:p w14:paraId="59684546" w14:textId="10367037" w:rsidR="007F746A" w:rsidRDefault="007F746A">
      <w:pPr>
        <w:rPr>
          <w:rFonts w:cs="Times New Roman"/>
        </w:rPr>
      </w:pPr>
    </w:p>
    <w:p w14:paraId="137BA308" w14:textId="633FD6FE" w:rsidR="007F746A" w:rsidRDefault="00CD1816">
      <w:r>
        <w:t xml:space="preserve">                                                                                               Računovodstvo:</w:t>
      </w:r>
    </w:p>
    <w:p w14:paraId="2327AFC2" w14:textId="448E6504" w:rsidR="00CD1816" w:rsidRDefault="00CD1816"/>
    <w:p w14:paraId="25C6257E" w14:textId="09028D9C" w:rsidR="00CD1816" w:rsidRPr="007F746A" w:rsidRDefault="00CD1816">
      <w:r>
        <w:t xml:space="preserve">                                                                                               </w:t>
      </w:r>
      <w:proofErr w:type="spellStart"/>
      <w:r>
        <w:t>Zrinka</w:t>
      </w:r>
      <w:proofErr w:type="spellEnd"/>
      <w:r>
        <w:t xml:space="preserve"> </w:t>
      </w:r>
      <w:proofErr w:type="spellStart"/>
      <w:r>
        <w:t>Perajica</w:t>
      </w:r>
      <w:proofErr w:type="spellEnd"/>
    </w:p>
    <w:sectPr w:rsidR="00CD1816" w:rsidRPr="007F74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4D6"/>
    <w:multiLevelType w:val="hybridMultilevel"/>
    <w:tmpl w:val="A1B2CF34"/>
    <w:lvl w:ilvl="0" w:tplc="24926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C704D"/>
    <w:multiLevelType w:val="hybridMultilevel"/>
    <w:tmpl w:val="E8C2EE06"/>
    <w:lvl w:ilvl="0" w:tplc="71E0FB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3E94"/>
    <w:multiLevelType w:val="hybridMultilevel"/>
    <w:tmpl w:val="3A30CB54"/>
    <w:lvl w:ilvl="0" w:tplc="842E3D7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83E"/>
    <w:rsid w:val="000C3806"/>
    <w:rsid w:val="002D51D1"/>
    <w:rsid w:val="005628EC"/>
    <w:rsid w:val="00653F98"/>
    <w:rsid w:val="00716357"/>
    <w:rsid w:val="007A6F70"/>
    <w:rsid w:val="007F746A"/>
    <w:rsid w:val="00A60A3A"/>
    <w:rsid w:val="00A73BBE"/>
    <w:rsid w:val="00B04DCF"/>
    <w:rsid w:val="00B340A8"/>
    <w:rsid w:val="00B43B56"/>
    <w:rsid w:val="00BD1910"/>
    <w:rsid w:val="00C745B8"/>
    <w:rsid w:val="00CD1816"/>
    <w:rsid w:val="00FB69E1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EA43"/>
  <w15:docId w15:val="{849C4E43-7C78-4D90-8DC5-E2786ACD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OSNOVNA ŠKOLA KNEZA TRPIMIRA</cp:lastModifiedBy>
  <cp:revision>10</cp:revision>
  <dcterms:created xsi:type="dcterms:W3CDTF">2025-07-10T11:15:00Z</dcterms:created>
  <dcterms:modified xsi:type="dcterms:W3CDTF">2025-07-11T06:29:00Z</dcterms:modified>
</cp:coreProperties>
</file>